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29F179D4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B269BA">
        <w:rPr>
          <w:rFonts w:ascii="Times New Roman" w:hAnsi="Times New Roman" w:cs="Times New Roman"/>
          <w:sz w:val="24"/>
          <w:szCs w:val="24"/>
          <w:lang w:val="tr-TR"/>
        </w:rPr>
        <w:t>28</w:t>
      </w:r>
    </w:p>
    <w:p w14:paraId="4FD47878" w14:textId="5F5514F7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31</w:t>
      </w:r>
      <w:r w:rsidR="00B269BA">
        <w:rPr>
          <w:rFonts w:ascii="Times New Roman" w:hAnsi="Times New Roman" w:cs="Times New Roman"/>
          <w:sz w:val="24"/>
          <w:szCs w:val="24"/>
          <w:lang w:val="tr-TR"/>
        </w:rPr>
        <w:t>.10.2023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18C561E9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229285FD" w14:textId="1D64FC06" w:rsidR="00A61071" w:rsidRDefault="00A61071" w:rsidP="00A610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71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9B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B269BA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="00B269BA">
        <w:rPr>
          <w:rFonts w:ascii="Times New Roman" w:hAnsi="Times New Roman" w:cs="Times New Roman"/>
          <w:sz w:val="24"/>
          <w:szCs w:val="24"/>
        </w:rPr>
        <w:t>bünyesine</w:t>
      </w:r>
      <w:proofErr w:type="spellEnd"/>
      <w:r w:rsidR="00B269BA">
        <w:rPr>
          <w:rFonts w:ascii="Times New Roman" w:hAnsi="Times New Roman" w:cs="Times New Roman"/>
          <w:sz w:val="24"/>
          <w:szCs w:val="24"/>
        </w:rPr>
        <w:t xml:space="preserve"> 1</w:t>
      </w:r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kadrosu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>.</w:t>
      </w:r>
    </w:p>
    <w:p w14:paraId="64E32DF1" w14:textId="715182FD" w:rsidR="00B269BA" w:rsidRDefault="00B269BA" w:rsidP="00B269BA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71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bünyesine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kadrosu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7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A61071">
        <w:rPr>
          <w:rFonts w:ascii="Times New Roman" w:hAnsi="Times New Roman" w:cs="Times New Roman"/>
          <w:sz w:val="24"/>
          <w:szCs w:val="24"/>
        </w:rPr>
        <w:t>.</w:t>
      </w:r>
    </w:p>
    <w:p w14:paraId="5F1B0F6E" w14:textId="21DD402E" w:rsidR="008E618A" w:rsidRDefault="008E618A" w:rsidP="00B269BA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1B4944DA" w14:textId="77777777" w:rsidR="00B269BA" w:rsidRDefault="00B269BA" w:rsidP="00B269B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D43A52" w14:textId="67C3C40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0103F9D" w14:textId="37B69D92" w:rsidR="00A61071" w:rsidRDefault="00A61071" w:rsidP="00E77C7C">
      <w:pPr>
        <w:pStyle w:val="ListeParagraf"/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Bölümü</w:t>
      </w: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İngilizce Mütercim ve Tercü</w:t>
      </w:r>
      <w:r w:rsidR="00C05C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manlık Anabilim Dalı bünyesine 1</w:t>
      </w: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adet doktor öğreti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 üyesi kadrosu aktarımı hususu görüşüldü.</w:t>
      </w:r>
    </w:p>
    <w:p w14:paraId="73C7B7BD" w14:textId="77777777" w:rsidR="00EE142C" w:rsidRPr="00EE142C" w:rsidRDefault="00EE142C" w:rsidP="00EE1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C55CA13" w14:textId="77777777" w:rsidR="00E77C7C" w:rsidRPr="00A61071" w:rsidRDefault="00E77C7C" w:rsidP="00E77C7C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0BE712" w14:textId="68FF5720" w:rsidR="00C23764" w:rsidRPr="0059260F" w:rsidRDefault="0059260F" w:rsidP="00592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Başkanlığı’nın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25.10.2023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E-57832977-907.01-2300058235</w:t>
      </w:r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incelendi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="005A0D50">
        <w:rPr>
          <w:rFonts w:ascii="Times New Roman" w:eastAsia="Times New Roman" w:hAnsi="Times New Roman" w:cs="Times New Roman"/>
          <w:sz w:val="24"/>
          <w:szCs w:val="24"/>
          <w:lang w:eastAsia="tr-TR"/>
        </w:rPr>
        <w:t>"(Değişik:RG-03/03/2022</w:t>
      </w:r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-31767)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ükmü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19</w:t>
      </w:r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.10.2023</w:t>
      </w:r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236/4-1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kadro</w:t>
      </w:r>
      <w:r w:rsidR="00E77C7C">
        <w:rPr>
          <w:rFonts w:ascii="Times New Roman" w:hAnsi="Times New Roman" w:cs="Times New Roman"/>
          <w:sz w:val="24"/>
          <w:szCs w:val="24"/>
        </w:rPr>
        <w:t>sunun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başkanlığının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13.06.2023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gerekçeli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Dalı</w:t>
      </w:r>
      <w:r w:rsidR="00E77C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talebinin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yapılmasının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09B326" w14:textId="77777777" w:rsidR="00E77C7C" w:rsidRDefault="00E77C7C" w:rsidP="00A61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D24D47" w14:textId="1192AB7F" w:rsidR="00CB708C" w:rsidRDefault="004333A5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333A5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1F9F3BE2" wp14:editId="61589DAE">
            <wp:extent cx="5760720" cy="920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9EB9F" w14:textId="77777777" w:rsidR="007C37D0" w:rsidRDefault="007C37D0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831D48" w14:textId="6BD91E0F" w:rsidR="0004081A" w:rsidRDefault="0004081A" w:rsidP="0004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arzına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5B6951C" w14:textId="77777777" w:rsidR="0004081A" w:rsidRDefault="0004081A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0496E6" w14:textId="382FBB07" w:rsidR="009803DF" w:rsidRDefault="009803DF" w:rsidP="009803DF">
      <w:pPr>
        <w:pStyle w:val="ListeParagraf"/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Bölümü</w:t>
      </w: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İngilizce Mütercim ve Tercü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manlık Anabilim Dalı bünyesine 2</w:t>
      </w:r>
      <w:r w:rsidRPr="00A6107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adet </w:t>
      </w:r>
      <w:r w:rsidR="00FC1BE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araştırma görevlisi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kadrosu aktarımı hususu görüşüldü.</w:t>
      </w:r>
    </w:p>
    <w:p w14:paraId="39D18A14" w14:textId="77777777" w:rsidR="009803DF" w:rsidRDefault="009803DF" w:rsidP="009803DF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98697C4" w14:textId="3F96565C" w:rsidR="009803DF" w:rsidRPr="00837BB4" w:rsidRDefault="009803DF" w:rsidP="0083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Başkanlığı’nın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25.10.2023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E-57832977-907.01-2300058240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yazısı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803D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803D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; “</w:t>
      </w:r>
      <w:r w:rsidR="005A0D50">
        <w:rPr>
          <w:rFonts w:ascii="Times New Roman" w:eastAsia="Times New Roman" w:hAnsi="Times New Roman" w:cs="Times New Roman"/>
          <w:sz w:val="24"/>
          <w:szCs w:val="24"/>
          <w:lang w:eastAsia="tr-TR"/>
        </w:rPr>
        <w:t>"(Değişik:RG-03/03/2022</w:t>
      </w:r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-31767)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</w:t>
      </w:r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rilir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."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19.10.2023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236/1</w:t>
      </w:r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FC1B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C1BE3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proofErr w:type="spellEnd"/>
      <w:r w:rsidR="00FC1B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E3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FC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E3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="00FC1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kadrosunun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başkanlığının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13.06.2023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gerekçeli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Pr="009803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Dalına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talebinin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yapılmasının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DF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9803DF">
        <w:rPr>
          <w:rFonts w:ascii="Times New Roman" w:hAnsi="Times New Roman" w:cs="Times New Roman"/>
          <w:sz w:val="24"/>
          <w:szCs w:val="24"/>
        </w:rPr>
        <w:t xml:space="preserve">, </w:t>
      </w:r>
      <w:r w:rsidR="00837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075DF" w14:textId="77777777" w:rsidR="009803DF" w:rsidRDefault="009803DF" w:rsidP="009803DF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01B946A" w14:textId="4463D3D7" w:rsidR="00C05C25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04081A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6918CB09" wp14:editId="69A39A50">
            <wp:extent cx="5760720" cy="1038860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44C2C4B5" w14:textId="7F013947" w:rsidR="0004081A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FF5DB7" w14:textId="5655A5A6" w:rsidR="0004081A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arzına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5EAD0578" w:rsidR="004C1B0F" w:rsidRPr="00D74D94" w:rsidRDefault="007C37D0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20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3E1900"/>
    <w:rsid w:val="004120C0"/>
    <w:rsid w:val="00420A9F"/>
    <w:rsid w:val="004333A5"/>
    <w:rsid w:val="00461828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D3FF4"/>
    <w:rsid w:val="00EE142C"/>
    <w:rsid w:val="00EF46C6"/>
    <w:rsid w:val="00F03CEF"/>
    <w:rsid w:val="00F108EE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F9F5-597B-4AED-9D5B-A5F4CF7D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Trabzon Üniversitesi</cp:lastModifiedBy>
  <cp:revision>47</cp:revision>
  <cp:lastPrinted>2023-10-31T10:25:00Z</cp:lastPrinted>
  <dcterms:created xsi:type="dcterms:W3CDTF">2021-11-24T13:04:00Z</dcterms:created>
  <dcterms:modified xsi:type="dcterms:W3CDTF">2023-10-31T10:31:00Z</dcterms:modified>
</cp:coreProperties>
</file>